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347B28" w:rsidRDefault="00F33D80" w:rsidP="0029357C">
      <w:pPr>
        <w:sectPr w:rsidR="0029357C" w:rsidRPr="00347B2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1B" w:rsidRPr="00822BA3" w:rsidRDefault="00CE3A1B" w:rsidP="00182394">
                            <w:pPr>
                              <w:pStyle w:val="AddressBold"/>
                              <w:spacing w:line="480" w:lineRule="exact"/>
                              <w:rPr>
                                <w:rFonts w:ascii="Helvetica" w:hAnsi="Helvetica"/>
                                <w:b w:val="0"/>
                                <w:color w:val="00559B"/>
                                <w:sz w:val="52"/>
                                <w:szCs w:val="52"/>
                              </w:rPr>
                            </w:pPr>
                            <w:r>
                              <w:rPr>
                                <w:rFonts w:ascii="Helvetica" w:hAnsi="Helvetica"/>
                                <w:b w:val="0"/>
                                <w:color w:val="00559B"/>
                                <w:sz w:val="52"/>
                                <w:szCs w:val="52"/>
                              </w:rPr>
                              <w:t xml:space="preserve">Reference </w:t>
                            </w:r>
                            <w:r w:rsidR="00182394">
                              <w:rPr>
                                <w:rFonts w:ascii="Helvetica" w:hAnsi="Helvetica"/>
                                <w:b w:val="0"/>
                                <w:color w:val="00559B"/>
                                <w:sz w:val="52"/>
                                <w:szCs w:val="52"/>
                              </w:rPr>
                              <w:t xml:space="preserve">Access and </w:t>
                            </w:r>
                            <w:r>
                              <w:rPr>
                                <w:rFonts w:ascii="Helvetica" w:hAnsi="Helvetica"/>
                                <w:b w:val="0"/>
                                <w:color w:val="00559B"/>
                                <w:sz w:val="52"/>
                                <w:szCs w:val="52"/>
                              </w:rPr>
                              <w:t>Interconnect</w:t>
                            </w:r>
                            <w:r w:rsidR="004913A9">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182394">
                              <w:rPr>
                                <w:rFonts w:ascii="Helvetica" w:hAnsi="Helvetica"/>
                                <w:b w:val="0"/>
                                <w:color w:val="00559B"/>
                                <w:sz w:val="40"/>
                                <w:szCs w:val="40"/>
                              </w:rPr>
                              <w:t xml:space="preserve">-FI </w:t>
                            </w:r>
                            <w:r>
                              <w:rPr>
                                <w:rFonts w:ascii="Helvetica" w:hAnsi="Helvetica"/>
                                <w:b w:val="0"/>
                                <w:color w:val="00559B"/>
                                <w:sz w:val="40"/>
                                <w:szCs w:val="40"/>
                              </w:rPr>
                              <w:t>04</w:t>
                            </w:r>
                            <w:r w:rsidRPr="00B04545">
                              <w:rPr>
                                <w:rFonts w:ascii="Helvetica" w:hAnsi="Helvetica"/>
                                <w:b w:val="0"/>
                                <w:color w:val="00559B"/>
                                <w:sz w:val="40"/>
                                <w:szCs w:val="40"/>
                              </w:rPr>
                              <w:t xml:space="preserve"> </w:t>
                            </w:r>
                            <w:r w:rsidR="00182394">
                              <w:rPr>
                                <w:rFonts w:ascii="Helvetica" w:hAnsi="Helvetica"/>
                                <w:b w:val="0"/>
                                <w:color w:val="00559B"/>
                                <w:sz w:val="40"/>
                                <w:szCs w:val="40"/>
                              </w:rPr>
                              <w:t>Call Origination for Non-Geographic Calls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CE3A1B" w:rsidRPr="00822BA3" w:rsidRDefault="00CE3A1B" w:rsidP="00182394">
                      <w:pPr>
                        <w:pStyle w:val="AddressBold"/>
                        <w:spacing w:line="480" w:lineRule="exact"/>
                        <w:rPr>
                          <w:rFonts w:ascii="Helvetica" w:hAnsi="Helvetica"/>
                          <w:b w:val="0"/>
                          <w:color w:val="00559B"/>
                          <w:sz w:val="52"/>
                          <w:szCs w:val="52"/>
                        </w:rPr>
                      </w:pPr>
                      <w:r>
                        <w:rPr>
                          <w:rFonts w:ascii="Helvetica" w:hAnsi="Helvetica"/>
                          <w:b w:val="0"/>
                          <w:color w:val="00559B"/>
                          <w:sz w:val="52"/>
                          <w:szCs w:val="52"/>
                        </w:rPr>
                        <w:t xml:space="preserve">Reference </w:t>
                      </w:r>
                      <w:r w:rsidR="00182394">
                        <w:rPr>
                          <w:rFonts w:ascii="Helvetica" w:hAnsi="Helvetica"/>
                          <w:b w:val="0"/>
                          <w:color w:val="00559B"/>
                          <w:sz w:val="52"/>
                          <w:szCs w:val="52"/>
                        </w:rPr>
                        <w:t xml:space="preserve">Access and </w:t>
                      </w:r>
                      <w:r>
                        <w:rPr>
                          <w:rFonts w:ascii="Helvetica" w:hAnsi="Helvetica"/>
                          <w:b w:val="0"/>
                          <w:color w:val="00559B"/>
                          <w:sz w:val="52"/>
                          <w:szCs w:val="52"/>
                        </w:rPr>
                        <w:t>Interconnect</w:t>
                      </w:r>
                      <w:r w:rsidR="004913A9">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182394">
                        <w:rPr>
                          <w:rFonts w:ascii="Helvetica" w:hAnsi="Helvetica"/>
                          <w:b w:val="0"/>
                          <w:color w:val="00559B"/>
                          <w:sz w:val="40"/>
                          <w:szCs w:val="40"/>
                        </w:rPr>
                        <w:t xml:space="preserve">-FI </w:t>
                      </w:r>
                      <w:r>
                        <w:rPr>
                          <w:rFonts w:ascii="Helvetica" w:hAnsi="Helvetica"/>
                          <w:b w:val="0"/>
                          <w:color w:val="00559B"/>
                          <w:sz w:val="40"/>
                          <w:szCs w:val="40"/>
                        </w:rPr>
                        <w:t>04</w:t>
                      </w:r>
                      <w:r w:rsidRPr="00B04545">
                        <w:rPr>
                          <w:rFonts w:ascii="Helvetica" w:hAnsi="Helvetica"/>
                          <w:b w:val="0"/>
                          <w:color w:val="00559B"/>
                          <w:sz w:val="40"/>
                          <w:szCs w:val="40"/>
                        </w:rPr>
                        <w:t xml:space="preserve"> </w:t>
                      </w:r>
                      <w:r w:rsidR="00182394">
                        <w:rPr>
                          <w:rFonts w:ascii="Helvetica" w:hAnsi="Helvetica"/>
                          <w:b w:val="0"/>
                          <w:color w:val="00559B"/>
                          <w:sz w:val="40"/>
                          <w:szCs w:val="40"/>
                        </w:rPr>
                        <w:t>Call Origination for Non-Geographic Calls</w:t>
                      </w:r>
                    </w:p>
                  </w:txbxContent>
                </v:textbox>
                <w10:wrap type="tight" anchorx="page" anchory="page"/>
              </v:shape>
            </w:pict>
          </mc:Fallback>
        </mc:AlternateContent>
      </w:r>
    </w:p>
    <w:p w:rsidR="003F41F3" w:rsidRPr="00347B28" w:rsidRDefault="00BD0AFF">
      <w:pPr>
        <w:spacing w:after="0" w:line="240" w:lineRule="auto"/>
        <w:rPr>
          <w:color w:val="4A93D1"/>
          <w:sz w:val="32"/>
          <w:szCs w:val="32"/>
          <w:u w:val="single"/>
        </w:rPr>
      </w:pPr>
      <w:r w:rsidRPr="00347B28">
        <w:rPr>
          <w:color w:val="4A93D1"/>
          <w:sz w:val="32"/>
          <w:szCs w:val="32"/>
          <w:u w:val="single"/>
        </w:rPr>
        <w:lastRenderedPageBreak/>
        <w:t>Table of C</w:t>
      </w:r>
      <w:r w:rsidR="003F41F3" w:rsidRPr="00347B28">
        <w:rPr>
          <w:color w:val="4A93D1"/>
          <w:sz w:val="32"/>
          <w:szCs w:val="32"/>
          <w:u w:val="single"/>
        </w:rPr>
        <w:t>ontent</w:t>
      </w:r>
      <w:r w:rsidR="00FE018D" w:rsidRPr="00347B28">
        <w:rPr>
          <w:color w:val="4A93D1"/>
          <w:sz w:val="32"/>
          <w:szCs w:val="32"/>
          <w:u w:val="single"/>
        </w:rPr>
        <w:t>s</w:t>
      </w:r>
    </w:p>
    <w:p w:rsidR="003F41F3" w:rsidRPr="00347B28" w:rsidRDefault="003F41F3">
      <w:pPr>
        <w:spacing w:after="0" w:line="240" w:lineRule="auto"/>
        <w:rPr>
          <w:rFonts w:eastAsia="Times"/>
          <w:kern w:val="32"/>
          <w:sz w:val="24"/>
        </w:rPr>
      </w:pPr>
    </w:p>
    <w:p w:rsidR="001E7BB7" w:rsidRDefault="00DB389E">
      <w:pPr>
        <w:pStyle w:val="TOC1"/>
        <w:rPr>
          <w:rFonts w:asciiTheme="minorHAnsi" w:eastAsiaTheme="minorEastAsia" w:hAnsiTheme="minorHAnsi" w:cstheme="minorBidi"/>
          <w:b w:val="0"/>
          <w:color w:val="auto"/>
          <w:sz w:val="22"/>
          <w:szCs w:val="22"/>
        </w:rPr>
      </w:pPr>
      <w:r w:rsidRPr="00347B28">
        <w:rPr>
          <w:b w:val="0"/>
          <w:bCs/>
        </w:rPr>
        <w:fldChar w:fldCharType="begin"/>
      </w:r>
      <w:r w:rsidR="0029357C" w:rsidRPr="00347B28">
        <w:rPr>
          <w:b w:val="0"/>
          <w:bCs/>
        </w:rPr>
        <w:instrText xml:space="preserve"> TOC \o "1-3" \h \z \u </w:instrText>
      </w:r>
      <w:r w:rsidRPr="00347B28">
        <w:rPr>
          <w:b w:val="0"/>
          <w:bCs/>
        </w:rPr>
        <w:fldChar w:fldCharType="separate"/>
      </w:r>
      <w:hyperlink w:anchor="_Toc521142318" w:history="1">
        <w:r w:rsidR="001E7BB7" w:rsidRPr="004154DC">
          <w:rPr>
            <w:rStyle w:val="Hyperlink"/>
          </w:rPr>
          <w:t>1</w:t>
        </w:r>
        <w:r w:rsidR="001E7BB7">
          <w:rPr>
            <w:rFonts w:asciiTheme="minorHAnsi" w:eastAsiaTheme="minorEastAsia" w:hAnsiTheme="minorHAnsi" w:cstheme="minorBidi"/>
            <w:b w:val="0"/>
            <w:color w:val="auto"/>
            <w:sz w:val="22"/>
            <w:szCs w:val="22"/>
          </w:rPr>
          <w:tab/>
        </w:r>
        <w:r w:rsidR="001E7BB7" w:rsidRPr="004154DC">
          <w:rPr>
            <w:rStyle w:val="Hyperlink"/>
          </w:rPr>
          <w:t>General</w:t>
        </w:r>
        <w:r w:rsidR="001E7BB7">
          <w:rPr>
            <w:webHidden/>
          </w:rPr>
          <w:tab/>
        </w:r>
        <w:r w:rsidR="001E7BB7">
          <w:rPr>
            <w:webHidden/>
          </w:rPr>
          <w:fldChar w:fldCharType="begin"/>
        </w:r>
        <w:r w:rsidR="001E7BB7">
          <w:rPr>
            <w:webHidden/>
          </w:rPr>
          <w:instrText xml:space="preserve"> PAGEREF _Toc521142318 \h </w:instrText>
        </w:r>
        <w:r w:rsidR="001E7BB7">
          <w:rPr>
            <w:webHidden/>
          </w:rPr>
        </w:r>
        <w:r w:rsidR="001E7BB7">
          <w:rPr>
            <w:webHidden/>
          </w:rPr>
          <w:fldChar w:fldCharType="separate"/>
        </w:r>
        <w:r w:rsidR="009113C4">
          <w:rPr>
            <w:webHidden/>
          </w:rPr>
          <w:t>3</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19" w:history="1">
        <w:r w:rsidR="001E7BB7" w:rsidRPr="004154DC">
          <w:rPr>
            <w:rStyle w:val="Hyperlink"/>
          </w:rPr>
          <w:t>2</w:t>
        </w:r>
        <w:r w:rsidR="001E7BB7">
          <w:rPr>
            <w:rFonts w:asciiTheme="minorHAnsi" w:eastAsiaTheme="minorEastAsia" w:hAnsiTheme="minorHAnsi" w:cstheme="minorBidi"/>
            <w:b w:val="0"/>
            <w:color w:val="auto"/>
            <w:sz w:val="22"/>
            <w:szCs w:val="22"/>
          </w:rPr>
          <w:tab/>
        </w:r>
        <w:r w:rsidR="001E7BB7" w:rsidRPr="004154DC">
          <w:rPr>
            <w:rStyle w:val="Hyperlink"/>
          </w:rPr>
          <w:t>Definitions</w:t>
        </w:r>
        <w:r w:rsidR="001E7BB7">
          <w:rPr>
            <w:webHidden/>
          </w:rPr>
          <w:tab/>
        </w:r>
        <w:r w:rsidR="001E7BB7">
          <w:rPr>
            <w:webHidden/>
          </w:rPr>
          <w:fldChar w:fldCharType="begin"/>
        </w:r>
        <w:r w:rsidR="001E7BB7">
          <w:rPr>
            <w:webHidden/>
          </w:rPr>
          <w:instrText xml:space="preserve"> PAGEREF _Toc521142319 \h </w:instrText>
        </w:r>
        <w:r w:rsidR="001E7BB7">
          <w:rPr>
            <w:webHidden/>
          </w:rPr>
        </w:r>
        <w:r w:rsidR="001E7BB7">
          <w:rPr>
            <w:webHidden/>
          </w:rPr>
          <w:fldChar w:fldCharType="separate"/>
        </w:r>
        <w:r w:rsidR="009113C4">
          <w:rPr>
            <w:webHidden/>
          </w:rPr>
          <w:t>4</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20" w:history="1">
        <w:r w:rsidR="001E7BB7" w:rsidRPr="004154DC">
          <w:rPr>
            <w:rStyle w:val="Hyperlink"/>
          </w:rPr>
          <w:t>3</w:t>
        </w:r>
        <w:r w:rsidR="001E7BB7">
          <w:rPr>
            <w:rFonts w:asciiTheme="minorHAnsi" w:eastAsiaTheme="minorEastAsia" w:hAnsiTheme="minorHAnsi" w:cstheme="minorBidi"/>
            <w:b w:val="0"/>
            <w:color w:val="auto"/>
            <w:sz w:val="22"/>
            <w:szCs w:val="22"/>
          </w:rPr>
          <w:tab/>
        </w:r>
        <w:r w:rsidR="001E7BB7" w:rsidRPr="004154DC">
          <w:rPr>
            <w:rStyle w:val="Hyperlink"/>
          </w:rPr>
          <w:t>Call Origination for Non-Geographic Calls</w:t>
        </w:r>
        <w:r w:rsidR="001E7BB7">
          <w:rPr>
            <w:webHidden/>
          </w:rPr>
          <w:tab/>
        </w:r>
        <w:r w:rsidR="001E7BB7">
          <w:rPr>
            <w:webHidden/>
          </w:rPr>
          <w:fldChar w:fldCharType="begin"/>
        </w:r>
        <w:r w:rsidR="001E7BB7">
          <w:rPr>
            <w:webHidden/>
          </w:rPr>
          <w:instrText xml:space="preserve"> PAGEREF _Toc521142320 \h </w:instrText>
        </w:r>
        <w:r w:rsidR="001E7BB7">
          <w:rPr>
            <w:webHidden/>
          </w:rPr>
        </w:r>
        <w:r w:rsidR="001E7BB7">
          <w:rPr>
            <w:webHidden/>
          </w:rPr>
          <w:fldChar w:fldCharType="separate"/>
        </w:r>
        <w:r w:rsidR="009113C4">
          <w:rPr>
            <w:webHidden/>
          </w:rPr>
          <w:t>5</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21" w:history="1">
        <w:r w:rsidR="001E7BB7" w:rsidRPr="004154DC">
          <w:rPr>
            <w:rStyle w:val="Hyperlink"/>
          </w:rPr>
          <w:t>4</w:t>
        </w:r>
        <w:r w:rsidR="001E7BB7">
          <w:rPr>
            <w:rFonts w:asciiTheme="minorHAnsi" w:eastAsiaTheme="minorEastAsia" w:hAnsiTheme="minorHAnsi" w:cstheme="minorBidi"/>
            <w:b w:val="0"/>
            <w:color w:val="auto"/>
            <w:sz w:val="22"/>
            <w:szCs w:val="22"/>
          </w:rPr>
          <w:tab/>
        </w:r>
        <w:r w:rsidR="001E7BB7" w:rsidRPr="004154DC">
          <w:rPr>
            <w:rStyle w:val="Hyperlink"/>
          </w:rPr>
          <w:t>Routing Regimes</w:t>
        </w:r>
        <w:r w:rsidR="001E7BB7">
          <w:rPr>
            <w:webHidden/>
          </w:rPr>
          <w:tab/>
        </w:r>
        <w:r w:rsidR="001E7BB7">
          <w:rPr>
            <w:webHidden/>
          </w:rPr>
          <w:fldChar w:fldCharType="begin"/>
        </w:r>
        <w:r w:rsidR="001E7BB7">
          <w:rPr>
            <w:webHidden/>
          </w:rPr>
          <w:instrText xml:space="preserve"> PAGEREF _Toc521142321 \h </w:instrText>
        </w:r>
        <w:r w:rsidR="001E7BB7">
          <w:rPr>
            <w:webHidden/>
          </w:rPr>
        </w:r>
        <w:r w:rsidR="001E7BB7">
          <w:rPr>
            <w:webHidden/>
          </w:rPr>
          <w:fldChar w:fldCharType="separate"/>
        </w:r>
        <w:r w:rsidR="009113C4">
          <w:rPr>
            <w:webHidden/>
          </w:rPr>
          <w:t>6</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22" w:history="1">
        <w:r w:rsidR="001E7BB7" w:rsidRPr="004154DC">
          <w:rPr>
            <w:rStyle w:val="Hyperlink"/>
          </w:rPr>
          <w:t>5</w:t>
        </w:r>
        <w:r w:rsidR="001E7BB7">
          <w:rPr>
            <w:rFonts w:asciiTheme="minorHAnsi" w:eastAsiaTheme="minorEastAsia" w:hAnsiTheme="minorHAnsi" w:cstheme="minorBidi"/>
            <w:b w:val="0"/>
            <w:color w:val="auto"/>
            <w:sz w:val="22"/>
            <w:szCs w:val="22"/>
          </w:rPr>
          <w:tab/>
        </w:r>
        <w:r w:rsidR="001E7BB7" w:rsidRPr="004154DC">
          <w:rPr>
            <w:rStyle w:val="Hyperlink"/>
          </w:rPr>
          <w:t>Ordering and Delivery</w:t>
        </w:r>
        <w:r w:rsidR="001E7BB7">
          <w:rPr>
            <w:webHidden/>
          </w:rPr>
          <w:tab/>
        </w:r>
        <w:r w:rsidR="001E7BB7">
          <w:rPr>
            <w:webHidden/>
          </w:rPr>
          <w:fldChar w:fldCharType="begin"/>
        </w:r>
        <w:r w:rsidR="001E7BB7">
          <w:rPr>
            <w:webHidden/>
          </w:rPr>
          <w:instrText xml:space="preserve"> PAGEREF _Toc521142322 \h </w:instrText>
        </w:r>
        <w:r w:rsidR="001E7BB7">
          <w:rPr>
            <w:webHidden/>
          </w:rPr>
        </w:r>
        <w:r w:rsidR="001E7BB7">
          <w:rPr>
            <w:webHidden/>
          </w:rPr>
          <w:fldChar w:fldCharType="separate"/>
        </w:r>
        <w:r w:rsidR="009113C4">
          <w:rPr>
            <w:webHidden/>
          </w:rPr>
          <w:t>7</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23" w:history="1">
        <w:r w:rsidR="001E7BB7" w:rsidRPr="004154DC">
          <w:rPr>
            <w:rStyle w:val="Hyperlink"/>
          </w:rPr>
          <w:t>6</w:t>
        </w:r>
        <w:r w:rsidR="001E7BB7">
          <w:rPr>
            <w:rFonts w:asciiTheme="minorHAnsi" w:eastAsiaTheme="minorEastAsia" w:hAnsiTheme="minorHAnsi" w:cstheme="minorBidi"/>
            <w:b w:val="0"/>
            <w:color w:val="auto"/>
            <w:sz w:val="22"/>
            <w:szCs w:val="22"/>
          </w:rPr>
          <w:tab/>
        </w:r>
        <w:r w:rsidR="001E7BB7" w:rsidRPr="004154DC">
          <w:rPr>
            <w:rStyle w:val="Hyperlink"/>
          </w:rPr>
          <w:t>Tariff</w:t>
        </w:r>
        <w:r w:rsidR="001E7BB7">
          <w:rPr>
            <w:webHidden/>
          </w:rPr>
          <w:tab/>
        </w:r>
        <w:r w:rsidR="001E7BB7">
          <w:rPr>
            <w:webHidden/>
          </w:rPr>
          <w:fldChar w:fldCharType="begin"/>
        </w:r>
        <w:r w:rsidR="001E7BB7">
          <w:rPr>
            <w:webHidden/>
          </w:rPr>
          <w:instrText xml:space="preserve"> PAGEREF _Toc521142323 \h </w:instrText>
        </w:r>
        <w:r w:rsidR="001E7BB7">
          <w:rPr>
            <w:webHidden/>
          </w:rPr>
        </w:r>
        <w:r w:rsidR="001E7BB7">
          <w:rPr>
            <w:webHidden/>
          </w:rPr>
          <w:fldChar w:fldCharType="separate"/>
        </w:r>
        <w:r w:rsidR="009113C4">
          <w:rPr>
            <w:webHidden/>
          </w:rPr>
          <w:t>8</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24" w:history="1">
        <w:r w:rsidR="001E7BB7" w:rsidRPr="004154DC">
          <w:rPr>
            <w:rStyle w:val="Hyperlink"/>
          </w:rPr>
          <w:t>7</w:t>
        </w:r>
        <w:r w:rsidR="001E7BB7">
          <w:rPr>
            <w:rFonts w:asciiTheme="minorHAnsi" w:eastAsiaTheme="minorEastAsia" w:hAnsiTheme="minorHAnsi" w:cstheme="minorBidi"/>
            <w:b w:val="0"/>
            <w:color w:val="auto"/>
            <w:sz w:val="22"/>
            <w:szCs w:val="22"/>
          </w:rPr>
          <w:tab/>
        </w:r>
        <w:r w:rsidR="001E7BB7" w:rsidRPr="004154DC">
          <w:rPr>
            <w:rStyle w:val="Hyperlink"/>
          </w:rPr>
          <w:t>Fault Management</w:t>
        </w:r>
        <w:r w:rsidR="001E7BB7">
          <w:rPr>
            <w:webHidden/>
          </w:rPr>
          <w:tab/>
        </w:r>
        <w:r w:rsidR="001E7BB7">
          <w:rPr>
            <w:webHidden/>
          </w:rPr>
          <w:fldChar w:fldCharType="begin"/>
        </w:r>
        <w:r w:rsidR="001E7BB7">
          <w:rPr>
            <w:webHidden/>
          </w:rPr>
          <w:instrText xml:space="preserve"> PAGEREF _Toc521142324 \h </w:instrText>
        </w:r>
        <w:r w:rsidR="001E7BB7">
          <w:rPr>
            <w:webHidden/>
          </w:rPr>
        </w:r>
        <w:r w:rsidR="001E7BB7">
          <w:rPr>
            <w:webHidden/>
          </w:rPr>
          <w:fldChar w:fldCharType="separate"/>
        </w:r>
        <w:r w:rsidR="009113C4">
          <w:rPr>
            <w:webHidden/>
          </w:rPr>
          <w:t>9</w:t>
        </w:r>
        <w:r w:rsidR="001E7BB7">
          <w:rPr>
            <w:webHidden/>
          </w:rPr>
          <w:fldChar w:fldCharType="end"/>
        </w:r>
      </w:hyperlink>
    </w:p>
    <w:p w:rsidR="001E7BB7" w:rsidRDefault="002D1055">
      <w:pPr>
        <w:pStyle w:val="TOC1"/>
        <w:rPr>
          <w:rFonts w:asciiTheme="minorHAnsi" w:eastAsiaTheme="minorEastAsia" w:hAnsiTheme="minorHAnsi" w:cstheme="minorBidi"/>
          <w:b w:val="0"/>
          <w:color w:val="auto"/>
          <w:sz w:val="22"/>
          <w:szCs w:val="22"/>
        </w:rPr>
      </w:pPr>
      <w:hyperlink w:anchor="_Toc521142325" w:history="1">
        <w:r w:rsidR="001E7BB7" w:rsidRPr="004154DC">
          <w:rPr>
            <w:rStyle w:val="Hyperlink"/>
          </w:rPr>
          <w:t>8</w:t>
        </w:r>
        <w:r w:rsidR="001E7BB7">
          <w:rPr>
            <w:rFonts w:asciiTheme="minorHAnsi" w:eastAsiaTheme="minorEastAsia" w:hAnsiTheme="minorHAnsi" w:cstheme="minorBidi"/>
            <w:b w:val="0"/>
            <w:color w:val="auto"/>
            <w:sz w:val="22"/>
            <w:szCs w:val="22"/>
          </w:rPr>
          <w:tab/>
        </w:r>
        <w:r w:rsidR="001E7BB7" w:rsidRPr="004154DC">
          <w:rPr>
            <w:rStyle w:val="Hyperlink"/>
          </w:rPr>
          <w:t>Forecasts</w:t>
        </w:r>
        <w:r w:rsidR="001E7BB7">
          <w:rPr>
            <w:webHidden/>
          </w:rPr>
          <w:tab/>
        </w:r>
        <w:r w:rsidR="001E7BB7">
          <w:rPr>
            <w:webHidden/>
          </w:rPr>
          <w:fldChar w:fldCharType="begin"/>
        </w:r>
        <w:r w:rsidR="001E7BB7">
          <w:rPr>
            <w:webHidden/>
          </w:rPr>
          <w:instrText xml:space="preserve"> PAGEREF _Toc521142325 \h </w:instrText>
        </w:r>
        <w:r w:rsidR="001E7BB7">
          <w:rPr>
            <w:webHidden/>
          </w:rPr>
        </w:r>
        <w:r w:rsidR="001E7BB7">
          <w:rPr>
            <w:webHidden/>
          </w:rPr>
          <w:fldChar w:fldCharType="separate"/>
        </w:r>
        <w:r w:rsidR="009113C4">
          <w:rPr>
            <w:webHidden/>
          </w:rPr>
          <w:t>10</w:t>
        </w:r>
        <w:r w:rsidR="001E7BB7">
          <w:rPr>
            <w:webHidden/>
          </w:rPr>
          <w:fldChar w:fldCharType="end"/>
        </w:r>
      </w:hyperlink>
    </w:p>
    <w:p w:rsidR="009A0F80" w:rsidRPr="00347B28" w:rsidRDefault="00DB389E" w:rsidP="009A0F80">
      <w:pPr>
        <w:rPr>
          <w:bCs/>
          <w:color w:val="000000"/>
        </w:rPr>
      </w:pPr>
      <w:r w:rsidRPr="00347B28">
        <w:rPr>
          <w:bCs/>
          <w:color w:val="000000"/>
        </w:rPr>
        <w:fldChar w:fldCharType="end"/>
      </w:r>
    </w:p>
    <w:p w:rsidR="0029357C" w:rsidRPr="00347B28" w:rsidRDefault="0029357C" w:rsidP="009A0F80">
      <w:pPr>
        <w:pStyle w:val="IndexTOC"/>
        <w:tabs>
          <w:tab w:val="right" w:pos="8805"/>
          <w:tab w:val="right" w:leader="dot" w:pos="9000"/>
        </w:tabs>
        <w:spacing w:after="120"/>
        <w:ind w:right="1886"/>
        <w:rPr>
          <w:color w:val="000000"/>
        </w:rPr>
      </w:pPr>
    </w:p>
    <w:p w:rsidR="00047CF7" w:rsidRPr="00347B28" w:rsidRDefault="00047CF7" w:rsidP="0029357C">
      <w:pPr>
        <w:pStyle w:val="IndexTOC"/>
        <w:tabs>
          <w:tab w:val="right" w:pos="8805"/>
          <w:tab w:val="right" w:leader="dot" w:pos="9000"/>
        </w:tabs>
        <w:spacing w:after="120"/>
        <w:ind w:right="1882"/>
        <w:rPr>
          <w:color w:val="000000"/>
        </w:rPr>
      </w:pPr>
    </w:p>
    <w:p w:rsidR="00EA310F" w:rsidRPr="00347B28" w:rsidRDefault="00EA310F" w:rsidP="002542BD">
      <w:pPr>
        <w:pStyle w:val="Heading1"/>
      </w:pPr>
      <w:bookmarkStart w:id="1" w:name="_Toc521142318"/>
      <w:r w:rsidRPr="00347B28">
        <w:lastRenderedPageBreak/>
        <w:t>General</w:t>
      </w:r>
      <w:bookmarkEnd w:id="1"/>
      <w:r w:rsidRPr="00347B28">
        <w:t xml:space="preserve"> </w:t>
      </w:r>
    </w:p>
    <w:p w:rsidR="00BD252C" w:rsidRPr="00347B28" w:rsidRDefault="00BD252C" w:rsidP="00835F69">
      <w:pPr>
        <w:pStyle w:val="ListParagraph"/>
      </w:pPr>
      <w:r w:rsidRPr="00347B28">
        <w:t>This Sub</w:t>
      </w:r>
      <w:r w:rsidR="0029262B" w:rsidRPr="00347B28">
        <w:t xml:space="preserve"> </w:t>
      </w:r>
      <w:r w:rsidRPr="00347B28">
        <w:t xml:space="preserve">Annex sets out the </w:t>
      </w:r>
      <w:r w:rsidR="00835F69" w:rsidRPr="00347B28">
        <w:t xml:space="preserve">Call Origination for Non-Geographic numbers of </w:t>
      </w:r>
      <w:r w:rsidR="004363C7" w:rsidRPr="00347B28">
        <w:t>the Requesting Party</w:t>
      </w:r>
      <w:r w:rsidRPr="00347B28">
        <w:t>.</w:t>
      </w:r>
    </w:p>
    <w:p w:rsidR="00835F69" w:rsidRPr="00347B28" w:rsidRDefault="004363C7" w:rsidP="00835F69">
      <w:pPr>
        <w:pStyle w:val="ListParagraph"/>
      </w:pPr>
      <w:r w:rsidRPr="00347B28">
        <w:t>The Requesting Party</w:t>
      </w:r>
      <w:r w:rsidR="00835F69" w:rsidRPr="00347B28">
        <w:t xml:space="preserve"> shall request for Fixed Ancillary </w:t>
      </w:r>
      <w:r w:rsidR="004913A9" w:rsidRPr="00347B28">
        <w:t>Interconnection</w:t>
      </w:r>
      <w:r w:rsidR="00835F69" w:rsidRPr="00347B28">
        <w:t xml:space="preserve"> </w:t>
      </w:r>
      <w:r w:rsidR="009A08B0" w:rsidRPr="00347B28">
        <w:t>Service</w:t>
      </w:r>
      <w:r w:rsidR="00835F69" w:rsidRPr="00347B28">
        <w:t xml:space="preserve">s to be able to convey calls between Omantel and </w:t>
      </w:r>
      <w:r w:rsidRPr="00347B28">
        <w:t>the Requesting Party</w:t>
      </w:r>
      <w:r w:rsidR="00835F69" w:rsidRPr="00347B28">
        <w:t xml:space="preserve">. </w:t>
      </w:r>
    </w:p>
    <w:p w:rsidR="00BD252C" w:rsidRPr="00347B28" w:rsidRDefault="00B163A6" w:rsidP="00B163A6">
      <w:pPr>
        <w:pStyle w:val="ListParagraph"/>
      </w:pPr>
      <w:r w:rsidRPr="00B163A6">
        <w:t xml:space="preserve"> Omantel, jointly with the industry, shall agree in advance to all necessary technical requirements, including Call set-up and clear-down sequences, for the conveyance of Calls pursuant to this Sub Annex. Within three months of a request been made for a Call Origination for Non-Geographic Calls service, and subject to all the parties having fully cooperated with Omantel, and that there will be no delays caused by factors outside Omantel’s control, Omantel will submit to the TRA for approval the text of the Joint Working Manual together with a note signed by all involved parties stating whether the text is agreed by all. Where any differences exist, these shall be clearly identified in the accompanying note. The Joint Working Manual shall come into force once approved by the TRA.</w:t>
      </w:r>
    </w:p>
    <w:p w:rsidR="00BD252C" w:rsidRPr="00347B28" w:rsidRDefault="00BD252C" w:rsidP="00BD252C">
      <w:pPr>
        <w:pStyle w:val="ListParagraph"/>
      </w:pPr>
      <w:r w:rsidRPr="00347B28">
        <w:t xml:space="preserve">The Parties shall convey Calls during those periods of time and at the same standard and quality of </w:t>
      </w:r>
      <w:r w:rsidR="009A08B0" w:rsidRPr="00347B28">
        <w:t>Service</w:t>
      </w:r>
      <w:r w:rsidRPr="00347B28">
        <w:t xml:space="preserve"> as Parties convey similar Calls to their </w:t>
      </w:r>
      <w:r w:rsidR="00297127" w:rsidRPr="00347B28">
        <w:t>C</w:t>
      </w:r>
      <w:r w:rsidRPr="00347B28">
        <w:t>ustomers.</w:t>
      </w:r>
    </w:p>
    <w:p w:rsidR="00BD252C" w:rsidRPr="00347B28" w:rsidRDefault="00885207">
      <w:pPr>
        <w:pStyle w:val="ListParagraph"/>
      </w:pPr>
      <w:r>
        <w:t>Left blank</w:t>
      </w:r>
      <w:r w:rsidR="0017161B">
        <w:t>.</w:t>
      </w:r>
    </w:p>
    <w:p w:rsidR="004363C7" w:rsidRPr="00347B28" w:rsidRDefault="00BD252C" w:rsidP="007716C0">
      <w:pPr>
        <w:pStyle w:val="ListParagraph"/>
      </w:pPr>
      <w:r w:rsidRPr="00347B28">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347B28" w:rsidRDefault="00257AE9" w:rsidP="004614E4">
      <w:pPr>
        <w:pStyle w:val="ListParagraph"/>
        <w:numPr>
          <w:ilvl w:val="0"/>
          <w:numId w:val="0"/>
        </w:numPr>
        <w:ind w:left="864"/>
      </w:pPr>
    </w:p>
    <w:p w:rsidR="00257AE9" w:rsidRPr="00347B28" w:rsidRDefault="00257AE9" w:rsidP="00257AE9">
      <w:pPr>
        <w:pStyle w:val="ListParagraph"/>
        <w:numPr>
          <w:ilvl w:val="0"/>
          <w:numId w:val="0"/>
        </w:numPr>
        <w:ind w:left="864"/>
      </w:pPr>
    </w:p>
    <w:p w:rsidR="00DC428A" w:rsidRPr="00347B28" w:rsidRDefault="00DC428A" w:rsidP="004614E4">
      <w:pPr>
        <w:pStyle w:val="Heading1"/>
      </w:pPr>
      <w:bookmarkStart w:id="2" w:name="_Toc521142319"/>
      <w:r w:rsidRPr="00347B28">
        <w:lastRenderedPageBreak/>
        <w:t>Definitions</w:t>
      </w:r>
      <w:bookmarkEnd w:id="2"/>
    </w:p>
    <w:p w:rsidR="00DC428A" w:rsidRPr="00347B28" w:rsidRDefault="00DC428A" w:rsidP="00261909">
      <w:pPr>
        <w:pStyle w:val="ListParagraph"/>
      </w:pPr>
      <w:r w:rsidRPr="00347B28">
        <w:t>The definitions in Annex L shall apply to this Sub Annex in addition to the following definitions:</w:t>
      </w:r>
    </w:p>
    <w:p w:rsidR="00DC428A" w:rsidRPr="00347B28" w:rsidRDefault="00BD3D81" w:rsidP="00BB66EB">
      <w:pPr>
        <w:pStyle w:val="ListParagraph2"/>
      </w:pPr>
      <w:r w:rsidRPr="00347B28">
        <w:t xml:space="preserve">Non-Geographic Number </w:t>
      </w:r>
      <w:r w:rsidR="00BB66EB" w:rsidRPr="00347B28">
        <w:t>–</w:t>
      </w:r>
      <w:r w:rsidRPr="00347B28">
        <w:t xml:space="preserve"> </w:t>
      </w:r>
      <w:r w:rsidR="00BB66EB" w:rsidRPr="00347B28">
        <w:t>Fixed telephone numbers not assigned to a geographical location.</w:t>
      </w:r>
    </w:p>
    <w:p w:rsidR="00DC428A" w:rsidRPr="00347B28" w:rsidRDefault="00DC428A" w:rsidP="00DC428A"/>
    <w:p w:rsidR="00257AE9" w:rsidRPr="00347B28" w:rsidRDefault="00F43067" w:rsidP="00F43067">
      <w:pPr>
        <w:pStyle w:val="Heading1"/>
      </w:pPr>
      <w:bookmarkStart w:id="3" w:name="_Toc521142320"/>
      <w:r w:rsidRPr="00347B28">
        <w:lastRenderedPageBreak/>
        <w:t>Call Origination for Non-Geographic Calls</w:t>
      </w:r>
      <w:bookmarkEnd w:id="3"/>
    </w:p>
    <w:p w:rsidR="0033017B" w:rsidRPr="00347B28" w:rsidRDefault="00F43067" w:rsidP="00261909">
      <w:pPr>
        <w:pStyle w:val="ListParagraph"/>
      </w:pPr>
      <w:r w:rsidRPr="00347B28">
        <w:t xml:space="preserve">Omantel offers the </w:t>
      </w:r>
      <w:r w:rsidR="009A08B0" w:rsidRPr="00347B28">
        <w:t>Service</w:t>
      </w:r>
      <w:r w:rsidRPr="00347B28">
        <w:t xml:space="preserve"> below for Voice Calls Originated from the Omantel Network to be terminated on </w:t>
      </w:r>
      <w:r w:rsidR="00261909" w:rsidRPr="00347B28">
        <w:t>a</w:t>
      </w:r>
      <w:r w:rsidRPr="00347B28">
        <w:t xml:space="preserve"> non-geographic number on </w:t>
      </w:r>
      <w:r w:rsidR="004363C7" w:rsidRPr="00347B28">
        <w:t>the Requesting Party</w:t>
      </w:r>
      <w:r w:rsidR="00261909" w:rsidRPr="00347B28">
        <w:t>’s</w:t>
      </w:r>
      <w:r w:rsidRPr="00347B28">
        <w:t xml:space="preserve"> N</w:t>
      </w:r>
      <w:r w:rsidR="00261909" w:rsidRPr="00347B28">
        <w:t>etwork</w:t>
      </w:r>
      <w:r w:rsidRPr="00347B28">
        <w:t>.</w:t>
      </w:r>
    </w:p>
    <w:tbl>
      <w:tblPr>
        <w:tblStyle w:val="TableGridLight1"/>
        <w:tblW w:w="8830" w:type="dxa"/>
        <w:tblInd w:w="885" w:type="dxa"/>
        <w:tblLayout w:type="fixed"/>
        <w:tblLook w:val="04A0" w:firstRow="1" w:lastRow="0" w:firstColumn="1" w:lastColumn="0" w:noHBand="0" w:noVBand="1"/>
      </w:tblPr>
      <w:tblGrid>
        <w:gridCol w:w="640"/>
        <w:gridCol w:w="2070"/>
        <w:gridCol w:w="6120"/>
      </w:tblGrid>
      <w:tr w:rsidR="004614E4" w:rsidRPr="00347B28" w:rsidTr="0032372B">
        <w:trPr>
          <w:trHeight w:val="571"/>
        </w:trPr>
        <w:tc>
          <w:tcPr>
            <w:tcW w:w="640" w:type="dxa"/>
            <w:shd w:val="clear" w:color="auto" w:fill="4A93D1"/>
            <w:vAlign w:val="center"/>
          </w:tcPr>
          <w:p w:rsidR="004614E4" w:rsidRPr="00347B28" w:rsidRDefault="004614E4" w:rsidP="003A4FA4">
            <w:pPr>
              <w:pStyle w:val="Table"/>
              <w:rPr>
                <w:b/>
                <w:bCs/>
                <w:color w:val="FFFFFF" w:themeColor="background1"/>
                <w:sz w:val="22"/>
                <w:szCs w:val="22"/>
              </w:rPr>
            </w:pPr>
            <w:r w:rsidRPr="00347B28">
              <w:rPr>
                <w:b/>
                <w:bCs/>
                <w:color w:val="FFFFFF" w:themeColor="background1"/>
                <w:sz w:val="22"/>
                <w:szCs w:val="22"/>
              </w:rPr>
              <w:t>No.</w:t>
            </w:r>
          </w:p>
        </w:tc>
        <w:tc>
          <w:tcPr>
            <w:tcW w:w="2070" w:type="dxa"/>
            <w:shd w:val="clear" w:color="auto" w:fill="4A93D1"/>
            <w:vAlign w:val="center"/>
          </w:tcPr>
          <w:p w:rsidR="004614E4" w:rsidRPr="00347B28" w:rsidRDefault="009A08B0" w:rsidP="003A4FA4">
            <w:pPr>
              <w:pStyle w:val="Table"/>
              <w:rPr>
                <w:b/>
                <w:bCs/>
                <w:color w:val="FFFFFF" w:themeColor="background1"/>
                <w:sz w:val="22"/>
                <w:szCs w:val="22"/>
              </w:rPr>
            </w:pPr>
            <w:r w:rsidRPr="00347B28">
              <w:rPr>
                <w:b/>
                <w:bCs/>
                <w:color w:val="FFFFFF" w:themeColor="background1"/>
                <w:sz w:val="22"/>
                <w:szCs w:val="22"/>
              </w:rPr>
              <w:t>Service</w:t>
            </w:r>
          </w:p>
        </w:tc>
        <w:tc>
          <w:tcPr>
            <w:tcW w:w="6120" w:type="dxa"/>
            <w:shd w:val="clear" w:color="auto" w:fill="4A93D1"/>
            <w:vAlign w:val="center"/>
          </w:tcPr>
          <w:p w:rsidR="004614E4" w:rsidRPr="00347B28" w:rsidRDefault="004D61A7" w:rsidP="003A4FA4">
            <w:pPr>
              <w:pStyle w:val="Table"/>
              <w:rPr>
                <w:b/>
                <w:bCs/>
                <w:color w:val="FFFFFF" w:themeColor="background1"/>
                <w:sz w:val="22"/>
                <w:szCs w:val="22"/>
              </w:rPr>
            </w:pPr>
            <w:r w:rsidRPr="00347B28">
              <w:rPr>
                <w:b/>
                <w:bCs/>
                <w:color w:val="FFFFFF" w:themeColor="background1"/>
                <w:sz w:val="22"/>
                <w:szCs w:val="22"/>
              </w:rPr>
              <w:t>Definition</w:t>
            </w:r>
          </w:p>
        </w:tc>
      </w:tr>
      <w:tr w:rsidR="004614E4" w:rsidRPr="00347B28" w:rsidTr="00D14B68">
        <w:trPr>
          <w:trHeight w:val="1525"/>
        </w:trPr>
        <w:tc>
          <w:tcPr>
            <w:tcW w:w="640" w:type="dxa"/>
            <w:vAlign w:val="center"/>
          </w:tcPr>
          <w:p w:rsidR="004614E4" w:rsidRPr="00347B28" w:rsidRDefault="004614E4" w:rsidP="004614E4">
            <w:pPr>
              <w:pStyle w:val="Table"/>
              <w:rPr>
                <w:sz w:val="22"/>
                <w:szCs w:val="22"/>
              </w:rPr>
            </w:pPr>
            <w:r w:rsidRPr="00347B28">
              <w:rPr>
                <w:sz w:val="22"/>
                <w:szCs w:val="22"/>
              </w:rPr>
              <w:t>1</w:t>
            </w:r>
          </w:p>
        </w:tc>
        <w:tc>
          <w:tcPr>
            <w:tcW w:w="2070" w:type="dxa"/>
            <w:vAlign w:val="center"/>
          </w:tcPr>
          <w:p w:rsidR="004614E4" w:rsidRPr="00347B28" w:rsidRDefault="00F43067" w:rsidP="004D61A7">
            <w:pPr>
              <w:pStyle w:val="Table"/>
              <w:jc w:val="left"/>
              <w:rPr>
                <w:sz w:val="22"/>
                <w:szCs w:val="22"/>
              </w:rPr>
            </w:pPr>
            <w:r w:rsidRPr="00347B28">
              <w:rPr>
                <w:sz w:val="22"/>
                <w:szCs w:val="22"/>
              </w:rPr>
              <w:t xml:space="preserve">Call Originated for Non-Geographic Calls </w:t>
            </w:r>
          </w:p>
        </w:tc>
        <w:tc>
          <w:tcPr>
            <w:tcW w:w="6120" w:type="dxa"/>
            <w:vAlign w:val="center"/>
          </w:tcPr>
          <w:p w:rsidR="004614E4" w:rsidRPr="00347B28" w:rsidRDefault="00F43067" w:rsidP="00261909">
            <w:pPr>
              <w:pStyle w:val="Table"/>
              <w:jc w:val="left"/>
              <w:rPr>
                <w:sz w:val="22"/>
                <w:szCs w:val="22"/>
              </w:rPr>
            </w:pPr>
            <w:r w:rsidRPr="00347B28">
              <w:rPr>
                <w:sz w:val="22"/>
                <w:szCs w:val="22"/>
              </w:rPr>
              <w:t xml:space="preserve">A Call handed over from Omantel Network to </w:t>
            </w:r>
            <w:r w:rsidR="004363C7" w:rsidRPr="00347B28">
              <w:rPr>
                <w:sz w:val="22"/>
                <w:szCs w:val="22"/>
              </w:rPr>
              <w:t>the Requesting Party</w:t>
            </w:r>
            <w:r w:rsidRPr="00347B28">
              <w:rPr>
                <w:sz w:val="22"/>
                <w:szCs w:val="22"/>
              </w:rPr>
              <w:t xml:space="preserve"> Network at </w:t>
            </w:r>
            <w:r w:rsidR="00261909" w:rsidRPr="00347B28">
              <w:rPr>
                <w:sz w:val="22"/>
                <w:szCs w:val="22"/>
              </w:rPr>
              <w:t xml:space="preserve">the </w:t>
            </w:r>
            <w:r w:rsidRPr="00347B28">
              <w:rPr>
                <w:sz w:val="22"/>
                <w:szCs w:val="22"/>
              </w:rPr>
              <w:t xml:space="preserve">nearest Point of </w:t>
            </w:r>
            <w:r w:rsidR="00261909" w:rsidRPr="00347B28">
              <w:rPr>
                <w:sz w:val="22"/>
                <w:szCs w:val="22"/>
              </w:rPr>
              <w:t>Interconnection</w:t>
            </w:r>
            <w:r w:rsidRPr="00347B28">
              <w:rPr>
                <w:sz w:val="22"/>
                <w:szCs w:val="22"/>
              </w:rPr>
              <w:t xml:space="preserve"> to </w:t>
            </w:r>
            <w:r w:rsidR="004363C7" w:rsidRPr="00347B28">
              <w:rPr>
                <w:sz w:val="22"/>
                <w:szCs w:val="22"/>
              </w:rPr>
              <w:t xml:space="preserve">Omantel </w:t>
            </w:r>
            <w:r w:rsidR="00261909" w:rsidRPr="00347B28">
              <w:rPr>
                <w:sz w:val="22"/>
                <w:szCs w:val="22"/>
              </w:rPr>
              <w:t>C</w:t>
            </w:r>
            <w:r w:rsidR="004363C7" w:rsidRPr="00347B28">
              <w:rPr>
                <w:sz w:val="22"/>
                <w:szCs w:val="22"/>
              </w:rPr>
              <w:t>ustomer and terminated on Non-Geographical number on the Requesting Party.</w:t>
            </w:r>
          </w:p>
        </w:tc>
      </w:tr>
    </w:tbl>
    <w:p w:rsidR="004614E4" w:rsidRPr="00347B28" w:rsidRDefault="004614E4" w:rsidP="00684FE9">
      <w:pPr>
        <w:pStyle w:val="Caption"/>
      </w:pPr>
      <w:bookmarkStart w:id="4" w:name="_Toc451707700"/>
      <w:r w:rsidRPr="00347B28">
        <w:t xml:space="preserve">Table </w:t>
      </w:r>
      <w:r w:rsidR="002D1055">
        <w:fldChar w:fldCharType="begin"/>
      </w:r>
      <w:r w:rsidR="002D1055">
        <w:instrText xml:space="preserve"> STYLEREF 1 \s </w:instrText>
      </w:r>
      <w:r w:rsidR="002D1055">
        <w:fldChar w:fldCharType="separate"/>
      </w:r>
      <w:r w:rsidR="009113C4">
        <w:rPr>
          <w:noProof/>
          <w:cs/>
        </w:rPr>
        <w:t>‎</w:t>
      </w:r>
      <w:r w:rsidR="009113C4">
        <w:rPr>
          <w:noProof/>
        </w:rPr>
        <w:t>3</w:t>
      </w:r>
      <w:r w:rsidR="002D1055">
        <w:rPr>
          <w:noProof/>
        </w:rPr>
        <w:fldChar w:fldCharType="end"/>
      </w:r>
      <w:r w:rsidRPr="00347B28">
        <w:noBreakHyphen/>
      </w:r>
      <w:r w:rsidR="002D1055">
        <w:fldChar w:fldCharType="begin"/>
      </w:r>
      <w:r w:rsidR="002D1055">
        <w:instrText xml:space="preserve"> SEQ Table \* ARABIC \s 1 </w:instrText>
      </w:r>
      <w:r w:rsidR="002D1055">
        <w:fldChar w:fldCharType="separate"/>
      </w:r>
      <w:r w:rsidR="009113C4">
        <w:rPr>
          <w:noProof/>
        </w:rPr>
        <w:t>1</w:t>
      </w:r>
      <w:r w:rsidR="002D1055">
        <w:rPr>
          <w:noProof/>
        </w:rPr>
        <w:fldChar w:fldCharType="end"/>
      </w:r>
      <w:r w:rsidRPr="00347B28">
        <w:t xml:space="preserve"> Omantel </w:t>
      </w:r>
      <w:r w:rsidR="00684FE9" w:rsidRPr="00347B28">
        <w:t xml:space="preserve">Call Origination </w:t>
      </w:r>
      <w:r w:rsidR="009A08B0" w:rsidRPr="00347B28">
        <w:t>Service</w:t>
      </w:r>
      <w:r w:rsidRPr="00347B28">
        <w:t>s</w:t>
      </w:r>
      <w:r w:rsidR="00684FE9" w:rsidRPr="00347B28">
        <w:t xml:space="preserve"> for Non-Geographic calls</w:t>
      </w:r>
      <w:bookmarkEnd w:id="4"/>
    </w:p>
    <w:p w:rsidR="004614E4" w:rsidRPr="00347B28" w:rsidRDefault="00675EF7" w:rsidP="00297127">
      <w:pPr>
        <w:pStyle w:val="ListParagraph"/>
      </w:pPr>
      <w:r w:rsidRPr="00347B28">
        <w:t xml:space="preserve">The </w:t>
      </w:r>
      <w:r w:rsidR="009A08B0" w:rsidRPr="00347B28">
        <w:t>Service</w:t>
      </w:r>
      <w:r w:rsidRPr="00347B28">
        <w:t xml:space="preserve"> includes the </w:t>
      </w:r>
      <w:r w:rsidR="00754CF5" w:rsidRPr="00347B28">
        <w:t xml:space="preserve">origination </w:t>
      </w:r>
      <w:r w:rsidRPr="00347B28">
        <w:t xml:space="preserve">fee incurred by Omantel, as listed in </w:t>
      </w:r>
      <w:r w:rsidR="00F5424D" w:rsidRPr="00347B28">
        <w:t>Clause</w:t>
      </w:r>
      <w:r w:rsidRPr="00347B28">
        <w:t xml:space="preserve"> </w:t>
      </w:r>
      <w:r w:rsidR="00297127" w:rsidRPr="00347B28">
        <w:fldChar w:fldCharType="begin"/>
      </w:r>
      <w:r w:rsidR="00297127" w:rsidRPr="00347B28">
        <w:instrText xml:space="preserve"> REF _Ref418503264 \r \h </w:instrText>
      </w:r>
      <w:r w:rsidR="00347B28">
        <w:instrText xml:space="preserve"> \* MERGEFORMAT </w:instrText>
      </w:r>
      <w:r w:rsidR="00297127" w:rsidRPr="00347B28">
        <w:fldChar w:fldCharType="separate"/>
      </w:r>
      <w:r w:rsidR="009113C4">
        <w:rPr>
          <w:cs/>
        </w:rPr>
        <w:t>‎</w:t>
      </w:r>
      <w:r w:rsidR="009113C4">
        <w:t>6</w:t>
      </w:r>
      <w:r w:rsidR="00297127" w:rsidRPr="00347B28">
        <w:fldChar w:fldCharType="end"/>
      </w:r>
      <w:r w:rsidR="00297127" w:rsidRPr="00347B28">
        <w:t xml:space="preserve"> </w:t>
      </w:r>
      <w:r w:rsidRPr="00347B28">
        <w:t xml:space="preserve">of this Sub Annex, which will be invoiced to </w:t>
      </w:r>
      <w:r w:rsidR="004363C7" w:rsidRPr="00347B28">
        <w:t>the Requesting Party</w:t>
      </w:r>
      <w:r w:rsidRPr="00347B28">
        <w:t>.</w:t>
      </w:r>
    </w:p>
    <w:p w:rsidR="009518E0" w:rsidRPr="00347B28" w:rsidRDefault="009518E0" w:rsidP="000F0F72"/>
    <w:p w:rsidR="006057E2" w:rsidRPr="00347B28" w:rsidRDefault="006057E2" w:rsidP="002542BD">
      <w:pPr>
        <w:pStyle w:val="Heading1"/>
      </w:pPr>
      <w:bookmarkStart w:id="5" w:name="_Toc521142321"/>
      <w:r w:rsidRPr="00347B28">
        <w:lastRenderedPageBreak/>
        <w:t>Routing Regimes</w:t>
      </w:r>
      <w:bookmarkEnd w:id="5"/>
    </w:p>
    <w:p w:rsidR="006057E2" w:rsidRPr="00347B28" w:rsidRDefault="00754CF5" w:rsidP="006A41BA">
      <w:pPr>
        <w:pStyle w:val="ListParagraph"/>
      </w:pPr>
      <w:r w:rsidRPr="00347B28">
        <w:t xml:space="preserve">Calls handed over from Omantel Network to </w:t>
      </w:r>
      <w:r w:rsidR="004363C7" w:rsidRPr="00347B28">
        <w:t>the Requesting Party</w:t>
      </w:r>
      <w:r w:rsidRPr="00347B28">
        <w:t xml:space="preserve"> Network designated to be terminated at a non-geographic number in </w:t>
      </w:r>
      <w:r w:rsidR="00261909" w:rsidRPr="00347B28">
        <w:t xml:space="preserve">the Requesting Party’s </w:t>
      </w:r>
      <w:r w:rsidRPr="00347B28">
        <w:t xml:space="preserve">Network shall be </w:t>
      </w:r>
      <w:r w:rsidR="006057E2" w:rsidRPr="00347B28">
        <w:t xml:space="preserve">handed over at the Point of </w:t>
      </w:r>
      <w:r w:rsidR="00261909" w:rsidRPr="00347B28">
        <w:t>Interconnection</w:t>
      </w:r>
      <w:r w:rsidR="006057E2" w:rsidRPr="00347B28">
        <w:t xml:space="preserve"> closest to the </w:t>
      </w:r>
      <w:r w:rsidR="00684FE9" w:rsidRPr="00347B28">
        <w:t xml:space="preserve">Omantel </w:t>
      </w:r>
      <w:r w:rsidR="006057E2" w:rsidRPr="00347B28">
        <w:t>fixed termination point.</w:t>
      </w:r>
    </w:p>
    <w:p w:rsidR="006057E2" w:rsidRPr="00347B28" w:rsidRDefault="006057E2" w:rsidP="006057E2"/>
    <w:p w:rsidR="003A4FA4" w:rsidRPr="00347B28" w:rsidRDefault="003A4FA4" w:rsidP="002542BD">
      <w:pPr>
        <w:pStyle w:val="Heading1"/>
      </w:pPr>
      <w:bookmarkStart w:id="6" w:name="_Toc521142322"/>
      <w:r w:rsidRPr="00347B28">
        <w:lastRenderedPageBreak/>
        <w:t>Ordering and Delivery</w:t>
      </w:r>
      <w:bookmarkEnd w:id="6"/>
    </w:p>
    <w:p w:rsidR="003A4FA4" w:rsidRDefault="003A4FA4" w:rsidP="00297127">
      <w:pPr>
        <w:pStyle w:val="ListParagraph"/>
      </w:pPr>
      <w:r w:rsidRPr="00347B28">
        <w:t xml:space="preserve">Ordering and delivery </w:t>
      </w:r>
      <w:r w:rsidR="00297127" w:rsidRPr="00347B28">
        <w:t xml:space="preserve">shall be </w:t>
      </w:r>
      <w:r w:rsidRPr="00347B28">
        <w:t>handled according to Annex H.</w:t>
      </w:r>
    </w:p>
    <w:p w:rsidR="00CE7883" w:rsidRDefault="00CE7883" w:rsidP="00CE7883">
      <w:pPr>
        <w:pStyle w:val="ListParagraph"/>
      </w:pPr>
      <w:r w:rsidRPr="00CE7883">
        <w:t>Omantel shall target a delivery time of no more than thirty (30) to seventy (70)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r>
        <w:t>.</w:t>
      </w:r>
    </w:p>
    <w:p w:rsidR="003A4FA4" w:rsidRPr="00347B28" w:rsidRDefault="003A4FA4" w:rsidP="003A4FA4"/>
    <w:p w:rsidR="00256016" w:rsidRPr="00347B28" w:rsidRDefault="00256016" w:rsidP="002542BD">
      <w:pPr>
        <w:pStyle w:val="Heading1"/>
      </w:pPr>
      <w:bookmarkStart w:id="7" w:name="_Ref418503264"/>
      <w:bookmarkStart w:id="8" w:name="_Ref418510460"/>
      <w:bookmarkStart w:id="9" w:name="_Ref418510829"/>
      <w:bookmarkStart w:id="10" w:name="_Ref418522186"/>
      <w:bookmarkStart w:id="11" w:name="_Ref418522259"/>
      <w:bookmarkStart w:id="12" w:name="_Toc521142323"/>
      <w:r w:rsidRPr="00347B28">
        <w:lastRenderedPageBreak/>
        <w:t>Tariff</w:t>
      </w:r>
      <w:bookmarkEnd w:id="7"/>
      <w:bookmarkEnd w:id="8"/>
      <w:bookmarkEnd w:id="9"/>
      <w:bookmarkEnd w:id="10"/>
      <w:bookmarkEnd w:id="11"/>
      <w:bookmarkEnd w:id="12"/>
    </w:p>
    <w:p w:rsidR="00256016" w:rsidRPr="00347B28" w:rsidRDefault="00256016" w:rsidP="006E591E">
      <w:pPr>
        <w:pStyle w:val="ListParagraph"/>
      </w:pPr>
      <w:bookmarkStart w:id="13" w:name="_Toc268519287"/>
      <w:r w:rsidRPr="00347B28">
        <w:t xml:space="preserve">The up to date tariff for the </w:t>
      </w:r>
      <w:r w:rsidR="009A08B0" w:rsidRPr="00347B28">
        <w:t>Service</w:t>
      </w:r>
      <w:r w:rsidRPr="00347B28">
        <w:t>s can be found in Annex M</w:t>
      </w:r>
      <w:bookmarkEnd w:id="13"/>
      <w:r w:rsidRPr="00347B28">
        <w:t>.</w:t>
      </w:r>
    </w:p>
    <w:p w:rsidR="00256016" w:rsidRPr="00347B28" w:rsidRDefault="00256016">
      <w:pPr>
        <w:pStyle w:val="ListParagraph"/>
      </w:pPr>
      <w:r w:rsidRPr="00347B28">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8F306D">
        <w:t xml:space="preserve"> </w:t>
      </w:r>
      <w:r w:rsidR="008F306D" w:rsidRPr="008F306D">
        <w:t>Omantel shall inform the TRA accordingly and obtain the necessary approvals from it.</w:t>
      </w:r>
      <w:r w:rsidR="00CE7883">
        <w:t xml:space="preserve"> </w:t>
      </w:r>
      <w:r w:rsidR="00CE7883" w:rsidRPr="00CE7883">
        <w:t xml:space="preserve">For the avoidance of doubt, </w:t>
      </w:r>
      <w:r w:rsidR="005E4FBE">
        <w:t>the</w:t>
      </w:r>
      <w:r w:rsidR="00CE7883" w:rsidRPr="00CE7883">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CE7883">
        <w:t>.</w:t>
      </w:r>
    </w:p>
    <w:p w:rsidR="00256016" w:rsidRPr="00347B28" w:rsidRDefault="00256016" w:rsidP="00256016"/>
    <w:p w:rsidR="00E568AD" w:rsidRPr="00347B28" w:rsidRDefault="00E568AD" w:rsidP="00E568AD">
      <w:pPr>
        <w:rPr>
          <w:lang w:val="en-GB"/>
        </w:rPr>
      </w:pPr>
    </w:p>
    <w:p w:rsidR="00E568AD" w:rsidRPr="00347B28" w:rsidRDefault="00E568AD" w:rsidP="00D21D9F">
      <w:pPr>
        <w:pStyle w:val="Heading1"/>
      </w:pPr>
      <w:bookmarkStart w:id="14" w:name="_Toc369710415"/>
      <w:bookmarkStart w:id="15" w:name="_Toc521142324"/>
      <w:r w:rsidRPr="00347B28">
        <w:lastRenderedPageBreak/>
        <w:t>Fault Management</w:t>
      </w:r>
      <w:bookmarkEnd w:id="14"/>
      <w:bookmarkEnd w:id="15"/>
    </w:p>
    <w:p w:rsidR="00E568AD" w:rsidRPr="00347B28" w:rsidRDefault="00E568AD" w:rsidP="00297127">
      <w:pPr>
        <w:pStyle w:val="ListParagraph"/>
        <w:rPr>
          <w:rFonts w:eastAsia="Calibri" w:cs="Helvetica"/>
          <w:szCs w:val="22"/>
        </w:rPr>
      </w:pPr>
      <w:r w:rsidRPr="00347B28">
        <w:t xml:space="preserve">Fault Management </w:t>
      </w:r>
      <w:r w:rsidR="00297127" w:rsidRPr="00347B28">
        <w:t xml:space="preserve">shall be </w:t>
      </w:r>
      <w:r w:rsidRPr="00347B28">
        <w:t>handled according to Annex H</w:t>
      </w:r>
      <w:r w:rsidRPr="00347B28">
        <w:rPr>
          <w:rFonts w:eastAsia="Calibri" w:cs="Helvetica"/>
          <w:szCs w:val="22"/>
        </w:rPr>
        <w:t>.</w:t>
      </w:r>
    </w:p>
    <w:p w:rsidR="00E568AD" w:rsidRPr="00347B28" w:rsidRDefault="00E568AD" w:rsidP="00D21D9F">
      <w:pPr>
        <w:pStyle w:val="Heading1"/>
      </w:pPr>
      <w:bookmarkStart w:id="16" w:name="_Toc369710416"/>
      <w:bookmarkStart w:id="17" w:name="_Toc521142325"/>
      <w:r w:rsidRPr="00347B28">
        <w:lastRenderedPageBreak/>
        <w:t>Forecasts</w:t>
      </w:r>
      <w:bookmarkEnd w:id="16"/>
      <w:bookmarkEnd w:id="17"/>
    </w:p>
    <w:p w:rsidR="00E568AD" w:rsidRPr="00347B28" w:rsidRDefault="00E568AD" w:rsidP="00297127">
      <w:pPr>
        <w:pStyle w:val="ListParagraph"/>
        <w:rPr>
          <w:rFonts w:eastAsia="Calibri" w:cs="Helvetica"/>
          <w:szCs w:val="22"/>
        </w:rPr>
      </w:pPr>
      <w:r w:rsidRPr="00347B28">
        <w:t xml:space="preserve">Forecasting </w:t>
      </w:r>
      <w:r w:rsidR="00297127" w:rsidRPr="00347B28">
        <w:t xml:space="preserve">shall be </w:t>
      </w:r>
      <w:r w:rsidRPr="00347B28">
        <w:t>handled according to Annex F.</w:t>
      </w:r>
    </w:p>
    <w:p w:rsidR="00E568AD" w:rsidRPr="00347B28" w:rsidRDefault="00E568AD" w:rsidP="00E568AD">
      <w:pPr>
        <w:rPr>
          <w:lang w:val="en-GB"/>
        </w:rPr>
      </w:pPr>
    </w:p>
    <w:sectPr w:rsidR="00E568AD" w:rsidRPr="00347B28"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55" w:rsidRDefault="002D1055">
      <w:r>
        <w:separator/>
      </w:r>
    </w:p>
    <w:p w:rsidR="002D1055" w:rsidRDefault="002D1055"/>
  </w:endnote>
  <w:endnote w:type="continuationSeparator" w:id="0">
    <w:p w:rsidR="002D1055" w:rsidRDefault="002D1055">
      <w:r>
        <w:continuationSeparator/>
      </w:r>
    </w:p>
    <w:p w:rsidR="002D1055" w:rsidRDefault="002D1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F33D80">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2368F2"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CE3A1B">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BB7EA"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1B9AAA"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DB389E" w:rsidRPr="002A3A70">
      <w:rPr>
        <w:sz w:val="16"/>
        <w:szCs w:val="16"/>
      </w:rPr>
      <w:fldChar w:fldCharType="begin"/>
    </w:r>
    <w:r w:rsidRPr="002A3A70">
      <w:rPr>
        <w:sz w:val="16"/>
        <w:szCs w:val="16"/>
      </w:rPr>
      <w:instrText xml:space="preserve"> PAGE </w:instrText>
    </w:r>
    <w:r w:rsidR="00DB389E" w:rsidRPr="002A3A70">
      <w:rPr>
        <w:sz w:val="16"/>
        <w:szCs w:val="16"/>
      </w:rPr>
      <w:fldChar w:fldCharType="separate"/>
    </w:r>
    <w:r w:rsidR="00A42149">
      <w:rPr>
        <w:noProof/>
        <w:sz w:val="16"/>
        <w:szCs w:val="16"/>
      </w:rPr>
      <w:t>10</w:t>
    </w:r>
    <w:r w:rsidR="00DB389E" w:rsidRPr="002A3A70">
      <w:rPr>
        <w:sz w:val="16"/>
        <w:szCs w:val="16"/>
      </w:rPr>
      <w:fldChar w:fldCharType="end"/>
    </w:r>
    <w:r w:rsidRPr="002A3A70">
      <w:rPr>
        <w:sz w:val="16"/>
        <w:szCs w:val="16"/>
      </w:rPr>
      <w:t xml:space="preserve"> of </w:t>
    </w:r>
    <w:r w:rsidR="00DB389E" w:rsidRPr="002A3A70">
      <w:rPr>
        <w:sz w:val="16"/>
        <w:szCs w:val="16"/>
      </w:rPr>
      <w:fldChar w:fldCharType="begin"/>
    </w:r>
    <w:r w:rsidRPr="002A3A70">
      <w:rPr>
        <w:sz w:val="16"/>
        <w:szCs w:val="16"/>
      </w:rPr>
      <w:instrText xml:space="preserve"> NUMPAGES </w:instrText>
    </w:r>
    <w:r w:rsidR="00DB389E" w:rsidRPr="002A3A70">
      <w:rPr>
        <w:sz w:val="16"/>
        <w:szCs w:val="16"/>
      </w:rPr>
      <w:fldChar w:fldCharType="separate"/>
    </w:r>
    <w:r w:rsidR="00A42149">
      <w:rPr>
        <w:noProof/>
        <w:sz w:val="16"/>
        <w:szCs w:val="16"/>
      </w:rPr>
      <w:t>10</w:t>
    </w:r>
    <w:r w:rsidR="00DB389E"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DB389E">
      <w:fldChar w:fldCharType="begin"/>
    </w:r>
    <w:r>
      <w:instrText xml:space="preserve"> PAGE </w:instrText>
    </w:r>
    <w:r w:rsidR="00DB389E">
      <w:fldChar w:fldCharType="separate"/>
    </w:r>
    <w:r>
      <w:rPr>
        <w:noProof/>
      </w:rPr>
      <w:t>3</w:t>
    </w:r>
    <w:r w:rsidR="00DB389E">
      <w:fldChar w:fldCharType="end"/>
    </w:r>
    <w:r>
      <w:t xml:space="preserve"> of </w:t>
    </w:r>
    <w:r w:rsidR="002D1055">
      <w:fldChar w:fldCharType="begin"/>
    </w:r>
    <w:r w:rsidR="002D1055">
      <w:instrText xml:space="preserve"> NUMPAGES </w:instrText>
    </w:r>
    <w:r w:rsidR="002D1055">
      <w:fldChar w:fldCharType="separate"/>
    </w:r>
    <w:r w:rsidR="009113C4">
      <w:rPr>
        <w:noProof/>
      </w:rPr>
      <w:t>10</w:t>
    </w:r>
    <w:r w:rsidR="002D1055">
      <w:rPr>
        <w:noProof/>
      </w:rPr>
      <w:fldChar w:fldCharType="end"/>
    </w:r>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55" w:rsidRDefault="002D1055">
      <w:r>
        <w:separator/>
      </w:r>
    </w:p>
    <w:p w:rsidR="002D1055" w:rsidRDefault="002D1055"/>
  </w:footnote>
  <w:footnote w:type="continuationSeparator" w:id="0">
    <w:p w:rsidR="002D1055" w:rsidRDefault="002D1055">
      <w:r>
        <w:continuationSeparator/>
      </w:r>
    </w:p>
    <w:p w:rsidR="002D1055" w:rsidRDefault="002D10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506286" w:rsidRDefault="00CE3A1B">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pPr>
      <w:rPr>
        <w:sz w:val="16"/>
        <w:szCs w:val="16"/>
      </w:rPr>
    </w:pPr>
  </w:p>
  <w:p w:rsidR="00CE3A1B" w:rsidRDefault="00CE3A1B" w:rsidP="006B78D0">
    <w:pPr>
      <w:rPr>
        <w:sz w:val="16"/>
        <w:szCs w:val="16"/>
      </w:rPr>
    </w:pPr>
    <w:r>
      <w:rPr>
        <w:noProof/>
        <w:sz w:val="16"/>
        <w:szCs w:val="16"/>
      </w:rPr>
      <w:drawing>
        <wp:anchor distT="0" distB="0" distL="114300" distR="114300" simplePos="0" relativeHeight="251664384"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6B78D0">
      <w:rPr>
        <w:sz w:val="16"/>
        <w:szCs w:val="16"/>
      </w:rPr>
      <w:t xml:space="preserve">Access and </w:t>
    </w:r>
    <w:r>
      <w:rPr>
        <w:sz w:val="16"/>
        <w:szCs w:val="16"/>
      </w:rPr>
      <w:t>Interconnect</w:t>
    </w:r>
    <w:r w:rsidR="006B78D0">
      <w:rPr>
        <w:sz w:val="16"/>
        <w:szCs w:val="16"/>
      </w:rPr>
      <w:t xml:space="preserve">ion </w:t>
    </w:r>
    <w:r>
      <w:rPr>
        <w:sz w:val="16"/>
        <w:szCs w:val="16"/>
      </w:rPr>
      <w:t>Offer</w:t>
    </w:r>
  </w:p>
  <w:p w:rsidR="00CE3A1B" w:rsidRPr="00182394" w:rsidRDefault="00182394" w:rsidP="00C907FC">
    <w:pPr>
      <w:rPr>
        <w:sz w:val="16"/>
        <w:szCs w:val="16"/>
      </w:rPr>
    </w:pPr>
    <w:r w:rsidRPr="00182394">
      <w:rPr>
        <w:sz w:val="16"/>
        <w:szCs w:val="16"/>
      </w:rPr>
      <w:t>Sub Annex C-FI 04 Call Origination for Non-Geographic Calls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6E8ED3A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9E2"/>
    <w:rsid w:val="00042009"/>
    <w:rsid w:val="00047CF7"/>
    <w:rsid w:val="0008405A"/>
    <w:rsid w:val="000939BD"/>
    <w:rsid w:val="000950EA"/>
    <w:rsid w:val="000A251E"/>
    <w:rsid w:val="000A6E58"/>
    <w:rsid w:val="000D0671"/>
    <w:rsid w:val="000E2E90"/>
    <w:rsid w:val="000F0F72"/>
    <w:rsid w:val="00110BD4"/>
    <w:rsid w:val="00131269"/>
    <w:rsid w:val="00140A50"/>
    <w:rsid w:val="00144294"/>
    <w:rsid w:val="00153406"/>
    <w:rsid w:val="0017161B"/>
    <w:rsid w:val="00182394"/>
    <w:rsid w:val="001C5CEB"/>
    <w:rsid w:val="001C5EDE"/>
    <w:rsid w:val="001D1951"/>
    <w:rsid w:val="001E7BB7"/>
    <w:rsid w:val="001F1D19"/>
    <w:rsid w:val="001F5C26"/>
    <w:rsid w:val="0020058D"/>
    <w:rsid w:val="00200F0E"/>
    <w:rsid w:val="0020748B"/>
    <w:rsid w:val="00231326"/>
    <w:rsid w:val="002412A9"/>
    <w:rsid w:val="002542BD"/>
    <w:rsid w:val="00256016"/>
    <w:rsid w:val="00257AE9"/>
    <w:rsid w:val="00261909"/>
    <w:rsid w:val="00263724"/>
    <w:rsid w:val="00274C22"/>
    <w:rsid w:val="0029262B"/>
    <w:rsid w:val="0029357C"/>
    <w:rsid w:val="00297127"/>
    <w:rsid w:val="002A3A70"/>
    <w:rsid w:val="002B7F68"/>
    <w:rsid w:val="002C2216"/>
    <w:rsid w:val="002D1055"/>
    <w:rsid w:val="002F236D"/>
    <w:rsid w:val="002F5687"/>
    <w:rsid w:val="003139E2"/>
    <w:rsid w:val="0032372B"/>
    <w:rsid w:val="00325582"/>
    <w:rsid w:val="0033017B"/>
    <w:rsid w:val="003311EF"/>
    <w:rsid w:val="00331F57"/>
    <w:rsid w:val="00347B28"/>
    <w:rsid w:val="00361503"/>
    <w:rsid w:val="00363A87"/>
    <w:rsid w:val="003A4FA4"/>
    <w:rsid w:val="003B1EBE"/>
    <w:rsid w:val="003C72CE"/>
    <w:rsid w:val="003E2AEF"/>
    <w:rsid w:val="003E6055"/>
    <w:rsid w:val="003F41F3"/>
    <w:rsid w:val="00404C9D"/>
    <w:rsid w:val="00411BAB"/>
    <w:rsid w:val="00411C84"/>
    <w:rsid w:val="00435BE8"/>
    <w:rsid w:val="004363C7"/>
    <w:rsid w:val="00441C8F"/>
    <w:rsid w:val="004614E4"/>
    <w:rsid w:val="00467D8E"/>
    <w:rsid w:val="004913A9"/>
    <w:rsid w:val="004A3A69"/>
    <w:rsid w:val="004A4BD7"/>
    <w:rsid w:val="004B6C9C"/>
    <w:rsid w:val="004D47CB"/>
    <w:rsid w:val="004D61A7"/>
    <w:rsid w:val="004E1484"/>
    <w:rsid w:val="004F610B"/>
    <w:rsid w:val="004F614F"/>
    <w:rsid w:val="00513A96"/>
    <w:rsid w:val="00520855"/>
    <w:rsid w:val="005458E9"/>
    <w:rsid w:val="005739C9"/>
    <w:rsid w:val="0058198C"/>
    <w:rsid w:val="00581FA7"/>
    <w:rsid w:val="00590805"/>
    <w:rsid w:val="00591EEB"/>
    <w:rsid w:val="005A1696"/>
    <w:rsid w:val="005A38EA"/>
    <w:rsid w:val="005A6581"/>
    <w:rsid w:val="005A6991"/>
    <w:rsid w:val="005C5D42"/>
    <w:rsid w:val="005E4FBE"/>
    <w:rsid w:val="005E6D7B"/>
    <w:rsid w:val="005F297D"/>
    <w:rsid w:val="005F7904"/>
    <w:rsid w:val="006057E2"/>
    <w:rsid w:val="00615395"/>
    <w:rsid w:val="00625A34"/>
    <w:rsid w:val="006275EC"/>
    <w:rsid w:val="00630C18"/>
    <w:rsid w:val="0064689C"/>
    <w:rsid w:val="00653575"/>
    <w:rsid w:val="00656CDE"/>
    <w:rsid w:val="00660C9D"/>
    <w:rsid w:val="0066499B"/>
    <w:rsid w:val="00670F62"/>
    <w:rsid w:val="00675EF7"/>
    <w:rsid w:val="00680301"/>
    <w:rsid w:val="00683778"/>
    <w:rsid w:val="00684FE9"/>
    <w:rsid w:val="006A1BC9"/>
    <w:rsid w:val="006A384C"/>
    <w:rsid w:val="006A41BA"/>
    <w:rsid w:val="006B78D0"/>
    <w:rsid w:val="006D5990"/>
    <w:rsid w:val="006E591E"/>
    <w:rsid w:val="006F03C8"/>
    <w:rsid w:val="00713F36"/>
    <w:rsid w:val="0073794D"/>
    <w:rsid w:val="0074396C"/>
    <w:rsid w:val="0074771A"/>
    <w:rsid w:val="00754CF5"/>
    <w:rsid w:val="00761CEB"/>
    <w:rsid w:val="007716C0"/>
    <w:rsid w:val="007A04EB"/>
    <w:rsid w:val="007B653A"/>
    <w:rsid w:val="00811ACB"/>
    <w:rsid w:val="00820520"/>
    <w:rsid w:val="00822BA3"/>
    <w:rsid w:val="00832C79"/>
    <w:rsid w:val="00835F69"/>
    <w:rsid w:val="008439F9"/>
    <w:rsid w:val="008528B1"/>
    <w:rsid w:val="008545CB"/>
    <w:rsid w:val="00885207"/>
    <w:rsid w:val="008B0ED4"/>
    <w:rsid w:val="008B223F"/>
    <w:rsid w:val="008C2C7D"/>
    <w:rsid w:val="008E4B60"/>
    <w:rsid w:val="008F10E5"/>
    <w:rsid w:val="008F306D"/>
    <w:rsid w:val="009113C4"/>
    <w:rsid w:val="009218BF"/>
    <w:rsid w:val="00927CE6"/>
    <w:rsid w:val="00944976"/>
    <w:rsid w:val="00945B7A"/>
    <w:rsid w:val="009518E0"/>
    <w:rsid w:val="00973BA8"/>
    <w:rsid w:val="00984832"/>
    <w:rsid w:val="0098721F"/>
    <w:rsid w:val="009A08B0"/>
    <w:rsid w:val="009A0F80"/>
    <w:rsid w:val="009A3B61"/>
    <w:rsid w:val="009B2585"/>
    <w:rsid w:val="009C076B"/>
    <w:rsid w:val="009E7642"/>
    <w:rsid w:val="009F696F"/>
    <w:rsid w:val="00A12A69"/>
    <w:rsid w:val="00A134C5"/>
    <w:rsid w:val="00A241CB"/>
    <w:rsid w:val="00A334C4"/>
    <w:rsid w:val="00A34748"/>
    <w:rsid w:val="00A42149"/>
    <w:rsid w:val="00A56DC9"/>
    <w:rsid w:val="00A77C31"/>
    <w:rsid w:val="00A91C9C"/>
    <w:rsid w:val="00AC1287"/>
    <w:rsid w:val="00AC696C"/>
    <w:rsid w:val="00AF4D5B"/>
    <w:rsid w:val="00B04089"/>
    <w:rsid w:val="00B04545"/>
    <w:rsid w:val="00B0717F"/>
    <w:rsid w:val="00B10573"/>
    <w:rsid w:val="00B146DA"/>
    <w:rsid w:val="00B163A6"/>
    <w:rsid w:val="00B24F05"/>
    <w:rsid w:val="00B46F53"/>
    <w:rsid w:val="00B666C4"/>
    <w:rsid w:val="00B736A7"/>
    <w:rsid w:val="00B94D42"/>
    <w:rsid w:val="00BB42D9"/>
    <w:rsid w:val="00BB5A75"/>
    <w:rsid w:val="00BB66EB"/>
    <w:rsid w:val="00BD0AFF"/>
    <w:rsid w:val="00BD252C"/>
    <w:rsid w:val="00BD3B20"/>
    <w:rsid w:val="00BD3D81"/>
    <w:rsid w:val="00BE66E3"/>
    <w:rsid w:val="00BE6F38"/>
    <w:rsid w:val="00C205A5"/>
    <w:rsid w:val="00C55A42"/>
    <w:rsid w:val="00C74840"/>
    <w:rsid w:val="00C758DD"/>
    <w:rsid w:val="00C907FC"/>
    <w:rsid w:val="00C95138"/>
    <w:rsid w:val="00C972CE"/>
    <w:rsid w:val="00CC65AD"/>
    <w:rsid w:val="00CD1291"/>
    <w:rsid w:val="00CD1D79"/>
    <w:rsid w:val="00CD4A23"/>
    <w:rsid w:val="00CE3A1B"/>
    <w:rsid w:val="00CE7883"/>
    <w:rsid w:val="00D03410"/>
    <w:rsid w:val="00D039CD"/>
    <w:rsid w:val="00D14B68"/>
    <w:rsid w:val="00D17B37"/>
    <w:rsid w:val="00D21D9F"/>
    <w:rsid w:val="00D24DF4"/>
    <w:rsid w:val="00D32813"/>
    <w:rsid w:val="00D84159"/>
    <w:rsid w:val="00D91928"/>
    <w:rsid w:val="00DB389E"/>
    <w:rsid w:val="00DC428A"/>
    <w:rsid w:val="00DC6FF5"/>
    <w:rsid w:val="00DD3EF2"/>
    <w:rsid w:val="00DE624E"/>
    <w:rsid w:val="00E06AC6"/>
    <w:rsid w:val="00E25CD9"/>
    <w:rsid w:val="00E33973"/>
    <w:rsid w:val="00E568AD"/>
    <w:rsid w:val="00E658D3"/>
    <w:rsid w:val="00E66A2A"/>
    <w:rsid w:val="00E71655"/>
    <w:rsid w:val="00E77238"/>
    <w:rsid w:val="00E775A2"/>
    <w:rsid w:val="00E8470D"/>
    <w:rsid w:val="00EA310F"/>
    <w:rsid w:val="00EB3E25"/>
    <w:rsid w:val="00ED0E75"/>
    <w:rsid w:val="00ED5795"/>
    <w:rsid w:val="00ED7EF5"/>
    <w:rsid w:val="00EE005E"/>
    <w:rsid w:val="00EE3C0B"/>
    <w:rsid w:val="00EE5BEF"/>
    <w:rsid w:val="00F06FED"/>
    <w:rsid w:val="00F12A8E"/>
    <w:rsid w:val="00F13DBC"/>
    <w:rsid w:val="00F20738"/>
    <w:rsid w:val="00F20D3C"/>
    <w:rsid w:val="00F2549C"/>
    <w:rsid w:val="00F33D80"/>
    <w:rsid w:val="00F35486"/>
    <w:rsid w:val="00F43067"/>
    <w:rsid w:val="00F45EEE"/>
    <w:rsid w:val="00F5424D"/>
    <w:rsid w:val="00F802A4"/>
    <w:rsid w:val="00FA67D2"/>
    <w:rsid w:val="00FB064D"/>
    <w:rsid w:val="00FB4D6E"/>
    <w:rsid w:val="00FC2A2D"/>
    <w:rsid w:val="00FE018D"/>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CE826A69-F989-453B-9615-4E07BD74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260AD59B-252B-49FB-A4EE-FBE6A175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22</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17</cp:revision>
  <cp:lastPrinted>2018-08-04T06:36:00Z</cp:lastPrinted>
  <dcterms:created xsi:type="dcterms:W3CDTF">2018-02-18T18:54:00Z</dcterms:created>
  <dcterms:modified xsi:type="dcterms:W3CDTF">2018-09-17T12:24:00Z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